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5FA6" w:rsidRDefault="0095302E" w:rsidP="007800FD">
      <w:pPr>
        <w:pStyle w:val="Heading1"/>
        <w:jc w:val="center"/>
      </w:pPr>
      <w:r>
        <w:t xml:space="preserve">Notes on </w:t>
      </w:r>
      <w:r w:rsidR="00BA5908">
        <w:t xml:space="preserve">the </w:t>
      </w:r>
      <w:r w:rsidR="000242B7">
        <w:t xml:space="preserve">comparison of PM7 and Materials Studio </w:t>
      </w:r>
      <w:r w:rsidR="000242B7">
        <w:br/>
      </w:r>
      <w:r>
        <w:t xml:space="preserve">calculation of </w:t>
      </w:r>
      <w:r w:rsidR="00BA5908">
        <w:t>an</w:t>
      </w:r>
      <w:r>
        <w:t xml:space="preserve"> </w:t>
      </w:r>
      <w:r w:rsidR="000242B7">
        <w:t>amorphous solid</w:t>
      </w:r>
      <w:r>
        <w:t xml:space="preserve"> </w:t>
      </w:r>
      <w:r w:rsidR="007800FD">
        <w:br/>
      </w:r>
    </w:p>
    <w:p w:rsidR="00BA5908" w:rsidRDefault="00BA5908" w:rsidP="00BA5908">
      <w:pPr>
        <w:pStyle w:val="Heading2"/>
      </w:pPr>
      <w:r>
        <w:t>Introduction</w:t>
      </w:r>
    </w:p>
    <w:p w:rsidR="00BA5908" w:rsidRPr="00BA5908" w:rsidRDefault="000242B7" w:rsidP="00BA5908">
      <w:r>
        <w:t xml:space="preserve">The geometries resulting from a Materials Studio calculation of an amorphous solid were compared with the results of an unconstrained PM7 optimization of the same system. </w:t>
      </w:r>
    </w:p>
    <w:p w:rsidR="00DF0F00" w:rsidRDefault="000242B7" w:rsidP="007A681C">
      <w:pPr>
        <w:pStyle w:val="Heading3"/>
      </w:pPr>
      <w:r>
        <w:t>Results of MOPAC calculation</w:t>
      </w:r>
    </w:p>
    <w:p w:rsidR="00DF0F00" w:rsidRDefault="000242B7" w:rsidP="00DF0F00">
      <w:r>
        <w:t>A 1SCF calculation on the Materials Studio geometry was compared with the fully-optimized PM7 geometry in which the starting point was the Materials Studio geometry</w:t>
      </w:r>
      <w:r w:rsidR="00DB3EED">
        <w:t>.  The amorphous repeat unit consisted of 58 formula units.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70"/>
        <w:gridCol w:w="1318"/>
        <w:gridCol w:w="1350"/>
        <w:gridCol w:w="1260"/>
      </w:tblGrid>
      <w:tr w:rsidR="00DB3EED" w:rsidTr="00DB3EED">
        <w:trPr>
          <w:jc w:val="center"/>
        </w:trPr>
        <w:tc>
          <w:tcPr>
            <w:tcW w:w="2570" w:type="dxa"/>
            <w:tcBorders>
              <w:top w:val="single" w:sz="4" w:space="0" w:color="auto"/>
              <w:bottom w:val="single" w:sz="4" w:space="0" w:color="auto"/>
            </w:tcBorders>
          </w:tcPr>
          <w:p w:rsidR="00DB3EED" w:rsidRDefault="00DB3EED" w:rsidP="00DF0F00">
            <w:r>
              <w:t>Geometry</w:t>
            </w:r>
          </w:p>
        </w:tc>
        <w:tc>
          <w:tcPr>
            <w:tcW w:w="1318" w:type="dxa"/>
            <w:tcBorders>
              <w:top w:val="single" w:sz="4" w:space="0" w:color="auto"/>
              <w:bottom w:val="single" w:sz="4" w:space="0" w:color="auto"/>
            </w:tcBorders>
          </w:tcPr>
          <w:p w:rsidR="00DB3EED" w:rsidRDefault="00DB3EED" w:rsidP="00DB3EED">
            <w:pPr>
              <w:jc w:val="center"/>
            </w:pPr>
            <w:r w:rsidRPr="00DB3EED">
              <w:rPr>
                <w:rFonts w:ascii="Symbol" w:hAnsi="Symbol"/>
              </w:rPr>
              <w:t></w:t>
            </w:r>
            <w:r>
              <w:t>H</w:t>
            </w:r>
            <w:r w:rsidRPr="00DB3EED">
              <w:rPr>
                <w:vertAlign w:val="subscript"/>
              </w:rPr>
              <w:t>f</w:t>
            </w:r>
            <w:r>
              <w:t xml:space="preserve"> </w:t>
            </w:r>
            <w:r>
              <w:br/>
              <w:t>(kcal</w:t>
            </w:r>
            <w:r>
              <w:rPr>
                <w:rFonts w:cstheme="minorHAnsi"/>
              </w:rPr>
              <w:t>∙</w:t>
            </w:r>
            <w:r>
              <w:t>mol</w:t>
            </w:r>
            <w:r w:rsidRPr="00DB3EED">
              <w:rPr>
                <w:vertAlign w:val="superscript"/>
              </w:rPr>
              <w:t>-1</w:t>
            </w:r>
            <w:r>
              <w:t>)</w:t>
            </w:r>
          </w:p>
        </w:tc>
        <w:tc>
          <w:tcPr>
            <w:tcW w:w="1350" w:type="dxa"/>
            <w:tcBorders>
              <w:top w:val="single" w:sz="4" w:space="0" w:color="auto"/>
              <w:bottom w:val="single" w:sz="4" w:space="0" w:color="auto"/>
            </w:tcBorders>
          </w:tcPr>
          <w:p w:rsidR="00DB3EED" w:rsidRDefault="00DB3EED" w:rsidP="00DB3EED">
            <w:pPr>
              <w:jc w:val="center"/>
            </w:pPr>
            <w:r w:rsidRPr="00DB3EED">
              <w:rPr>
                <w:rFonts w:ascii="Symbol" w:hAnsi="Symbol"/>
              </w:rPr>
              <w:t></w:t>
            </w:r>
            <w:r>
              <w:t>H</w:t>
            </w:r>
            <w:r w:rsidRPr="00DB3EED">
              <w:rPr>
                <w:vertAlign w:val="subscript"/>
              </w:rPr>
              <w:t>f</w:t>
            </w:r>
            <w:r>
              <w:rPr>
                <w:vertAlign w:val="subscript"/>
              </w:rPr>
              <w:t xml:space="preserve"> </w:t>
            </w:r>
            <w:r w:rsidRPr="00DB3EED">
              <w:t>per formula unit</w:t>
            </w:r>
          </w:p>
        </w:tc>
        <w:tc>
          <w:tcPr>
            <w:tcW w:w="1260" w:type="dxa"/>
            <w:tcBorders>
              <w:top w:val="single" w:sz="4" w:space="0" w:color="auto"/>
              <w:bottom w:val="single" w:sz="4" w:space="0" w:color="auto"/>
            </w:tcBorders>
          </w:tcPr>
          <w:p w:rsidR="00DB3EED" w:rsidRDefault="00DB3EED" w:rsidP="00DB3EED">
            <w:pPr>
              <w:jc w:val="center"/>
            </w:pPr>
            <w:r>
              <w:t>Density</w:t>
            </w:r>
            <w:r>
              <w:br/>
              <w:t>g/cc</w:t>
            </w:r>
          </w:p>
        </w:tc>
      </w:tr>
      <w:tr w:rsidR="00DB3EED" w:rsidTr="00DB3EED">
        <w:trPr>
          <w:jc w:val="center"/>
        </w:trPr>
        <w:tc>
          <w:tcPr>
            <w:tcW w:w="2570" w:type="dxa"/>
            <w:tcBorders>
              <w:top w:val="single" w:sz="4" w:space="0" w:color="auto"/>
            </w:tcBorders>
          </w:tcPr>
          <w:p w:rsidR="00DB3EED" w:rsidRDefault="00DB3EED" w:rsidP="00DF0F00">
            <w:r>
              <w:t>Materials Studio</w:t>
            </w:r>
          </w:p>
        </w:tc>
        <w:tc>
          <w:tcPr>
            <w:tcW w:w="1318" w:type="dxa"/>
            <w:tcBorders>
              <w:top w:val="single" w:sz="4" w:space="0" w:color="auto"/>
            </w:tcBorders>
          </w:tcPr>
          <w:p w:rsidR="00DB3EED" w:rsidRDefault="00DB3EED" w:rsidP="00DB3EED">
            <w:pPr>
              <w:jc w:val="center"/>
            </w:pPr>
            <w:r w:rsidRPr="00DB3EED">
              <w:t>-4698.</w:t>
            </w:r>
            <w:r>
              <w:t>6</w:t>
            </w:r>
          </w:p>
        </w:tc>
        <w:tc>
          <w:tcPr>
            <w:tcW w:w="1350" w:type="dxa"/>
            <w:tcBorders>
              <w:top w:val="single" w:sz="4" w:space="0" w:color="auto"/>
            </w:tcBorders>
          </w:tcPr>
          <w:p w:rsidR="00DB3EED" w:rsidRDefault="00DB3EED" w:rsidP="00DB3EED">
            <w:pPr>
              <w:jc w:val="center"/>
            </w:pPr>
            <w:r w:rsidRPr="00DB3EED">
              <w:t>-81.0</w:t>
            </w:r>
          </w:p>
        </w:tc>
        <w:tc>
          <w:tcPr>
            <w:tcW w:w="1260" w:type="dxa"/>
            <w:tcBorders>
              <w:top w:val="single" w:sz="4" w:space="0" w:color="auto"/>
            </w:tcBorders>
          </w:tcPr>
          <w:p w:rsidR="00DB3EED" w:rsidRDefault="00DB3EED" w:rsidP="00DB3EED">
            <w:pPr>
              <w:jc w:val="center"/>
            </w:pPr>
            <w:r>
              <w:t>1.013</w:t>
            </w:r>
          </w:p>
        </w:tc>
      </w:tr>
      <w:tr w:rsidR="00DB3EED" w:rsidTr="00DB3EED">
        <w:trPr>
          <w:jc w:val="center"/>
        </w:trPr>
        <w:tc>
          <w:tcPr>
            <w:tcW w:w="2570" w:type="dxa"/>
            <w:tcBorders>
              <w:bottom w:val="single" w:sz="4" w:space="0" w:color="auto"/>
            </w:tcBorders>
          </w:tcPr>
          <w:p w:rsidR="00DB3EED" w:rsidRDefault="00DB3EED" w:rsidP="00DF0F00">
            <w:r>
              <w:t>PM7</w:t>
            </w:r>
          </w:p>
        </w:tc>
        <w:tc>
          <w:tcPr>
            <w:tcW w:w="1318" w:type="dxa"/>
            <w:tcBorders>
              <w:bottom w:val="single" w:sz="4" w:space="0" w:color="auto"/>
            </w:tcBorders>
          </w:tcPr>
          <w:p w:rsidR="00DB3EED" w:rsidRDefault="00DB3EED" w:rsidP="00DB3EED">
            <w:pPr>
              <w:jc w:val="center"/>
            </w:pPr>
            <w:r w:rsidRPr="00DB3EED">
              <w:t>-5562.</w:t>
            </w:r>
            <w:r>
              <w:t>7</w:t>
            </w:r>
          </w:p>
        </w:tc>
        <w:tc>
          <w:tcPr>
            <w:tcW w:w="1350" w:type="dxa"/>
            <w:tcBorders>
              <w:bottom w:val="single" w:sz="4" w:space="0" w:color="auto"/>
            </w:tcBorders>
          </w:tcPr>
          <w:p w:rsidR="00DB3EED" w:rsidRDefault="00DB3EED" w:rsidP="00DB3EED">
            <w:pPr>
              <w:jc w:val="center"/>
            </w:pPr>
            <w:r w:rsidRPr="00DB3EED">
              <w:t>-95.9</w:t>
            </w:r>
          </w:p>
        </w:tc>
        <w:tc>
          <w:tcPr>
            <w:tcW w:w="1260" w:type="dxa"/>
            <w:tcBorders>
              <w:bottom w:val="single" w:sz="4" w:space="0" w:color="auto"/>
            </w:tcBorders>
          </w:tcPr>
          <w:p w:rsidR="00DB3EED" w:rsidRDefault="00DB3EED" w:rsidP="00DB3EED">
            <w:pPr>
              <w:jc w:val="center"/>
            </w:pPr>
            <w:r>
              <w:t>1.100</w:t>
            </w:r>
          </w:p>
        </w:tc>
      </w:tr>
    </w:tbl>
    <w:p w:rsidR="000242B7" w:rsidRDefault="00DB3EED" w:rsidP="00DF0F00">
      <w:r>
        <w:br/>
        <w:t xml:space="preserve">Geometry optimization resulted in the formula unit </w:t>
      </w:r>
      <w:r w:rsidRPr="00DB3EED">
        <w:rPr>
          <w:rFonts w:ascii="Symbol" w:hAnsi="Symbol"/>
        </w:rPr>
        <w:t></w:t>
      </w:r>
      <w:r>
        <w:t>H</w:t>
      </w:r>
      <w:r w:rsidRPr="00DB3EED">
        <w:rPr>
          <w:vertAlign w:val="subscript"/>
        </w:rPr>
        <w:t>f</w:t>
      </w:r>
      <w:r>
        <w:t xml:space="preserve"> decreasing by 14.9 kcal</w:t>
      </w:r>
      <w:r>
        <w:rPr>
          <w:rFonts w:cstheme="minorHAnsi"/>
        </w:rPr>
        <w:t>∙</w:t>
      </w:r>
      <w:r>
        <w:t>mol</w:t>
      </w:r>
      <w:r w:rsidRPr="00DB3EED">
        <w:rPr>
          <w:vertAlign w:val="superscript"/>
        </w:rPr>
        <w:t>-1</w:t>
      </w:r>
      <w:r>
        <w:t xml:space="preserve">, and the unit cell dimension decreasing by an average of </w:t>
      </w:r>
      <w:r w:rsidR="008B45C5">
        <w:t>2.8% = 100((1.100/1.013)</w:t>
      </w:r>
      <w:r w:rsidR="008B45C5" w:rsidRPr="008B45C5">
        <w:rPr>
          <w:vertAlign w:val="superscript"/>
        </w:rPr>
        <w:t>1/3</w:t>
      </w:r>
      <w:r w:rsidR="008B45C5">
        <w:t xml:space="preserve"> - </w:t>
      </w:r>
      <w:r w:rsidR="008B45C5" w:rsidRPr="008B45C5">
        <w:t>1.0)</w:t>
      </w:r>
      <w:r w:rsidR="008B45C5">
        <w:t>.</w:t>
      </w:r>
    </w:p>
    <w:p w:rsidR="00ED3A52" w:rsidRDefault="00ED3A52" w:rsidP="00DF0F00">
      <w:r>
        <w:t xml:space="preserve">The unit cell changed from </w:t>
      </w:r>
      <w:r w:rsidRPr="00ED3A52">
        <w:t>22.766</w:t>
      </w:r>
      <w:r>
        <w:t xml:space="preserve"> </w:t>
      </w:r>
      <w:r>
        <w:rPr>
          <w:rFonts w:cstheme="minorHAnsi"/>
        </w:rPr>
        <w:t>Å,</w:t>
      </w:r>
      <w:r w:rsidRPr="00ED3A52">
        <w:t xml:space="preserve"> 22.766</w:t>
      </w:r>
      <w:r>
        <w:t xml:space="preserve"> </w:t>
      </w:r>
      <w:r>
        <w:rPr>
          <w:rFonts w:cstheme="minorHAnsi"/>
        </w:rPr>
        <w:t xml:space="preserve">Å, </w:t>
      </w:r>
      <w:r w:rsidRPr="00ED3A52">
        <w:t xml:space="preserve"> 22.766</w:t>
      </w:r>
      <w:r>
        <w:t xml:space="preserve"> </w:t>
      </w:r>
      <w:r>
        <w:rPr>
          <w:rFonts w:cstheme="minorHAnsi"/>
        </w:rPr>
        <w:t>Å</w:t>
      </w:r>
      <w:r w:rsidRPr="00ED3A52">
        <w:t xml:space="preserve">  90.00</w:t>
      </w:r>
      <w:r>
        <w:rPr>
          <w:rFonts w:cstheme="minorHAnsi"/>
        </w:rPr>
        <w:t>˚</w:t>
      </w:r>
      <w:r>
        <w:t>,</w:t>
      </w:r>
      <w:r w:rsidRPr="00ED3A52">
        <w:t xml:space="preserve">  90.00</w:t>
      </w:r>
      <w:r>
        <w:rPr>
          <w:rFonts w:cstheme="minorHAnsi"/>
        </w:rPr>
        <w:t>˚</w:t>
      </w:r>
      <w:r>
        <w:t>,</w:t>
      </w:r>
      <w:r w:rsidRPr="00ED3A52">
        <w:t xml:space="preserve">  90.00</w:t>
      </w:r>
      <w:r>
        <w:rPr>
          <w:rFonts w:cstheme="minorHAnsi"/>
        </w:rPr>
        <w:t>˚</w:t>
      </w:r>
      <w:r>
        <w:t xml:space="preserve"> to </w:t>
      </w:r>
      <w:r w:rsidRPr="00ED3A52">
        <w:t>22.504</w:t>
      </w:r>
      <w:r>
        <w:t xml:space="preserve"> </w:t>
      </w:r>
      <w:r>
        <w:rPr>
          <w:rFonts w:cstheme="minorHAnsi"/>
        </w:rPr>
        <w:t>Å,</w:t>
      </w:r>
      <w:r w:rsidRPr="00ED3A52">
        <w:t xml:space="preserve"> 21.061</w:t>
      </w:r>
      <w:r>
        <w:t xml:space="preserve"> </w:t>
      </w:r>
      <w:r>
        <w:rPr>
          <w:rFonts w:cstheme="minorHAnsi"/>
        </w:rPr>
        <w:t>Å,</w:t>
      </w:r>
      <w:r w:rsidRPr="00ED3A52">
        <w:t xml:space="preserve"> 23.037</w:t>
      </w:r>
      <w:r w:rsidRPr="00ED3A52">
        <w:rPr>
          <w:rFonts w:cstheme="minorHAnsi"/>
        </w:rPr>
        <w:t xml:space="preserve"> </w:t>
      </w:r>
      <w:r>
        <w:rPr>
          <w:rFonts w:cstheme="minorHAnsi"/>
        </w:rPr>
        <w:t>Å,</w:t>
      </w:r>
      <w:r w:rsidRPr="00ED3A52">
        <w:t xml:space="preserve">  88.99</w:t>
      </w:r>
      <w:r>
        <w:rPr>
          <w:rFonts w:cstheme="minorHAnsi"/>
        </w:rPr>
        <w:t>˚</w:t>
      </w:r>
      <w:r>
        <w:t>,</w:t>
      </w:r>
      <w:r w:rsidRPr="00ED3A52">
        <w:t xml:space="preserve">  95.12</w:t>
      </w:r>
      <w:r>
        <w:rPr>
          <w:rFonts w:cstheme="minorHAnsi"/>
        </w:rPr>
        <w:t>˚</w:t>
      </w:r>
      <w:r>
        <w:t>,</w:t>
      </w:r>
      <w:r w:rsidRPr="00ED3A52">
        <w:t xml:space="preserve">  89.36</w:t>
      </w:r>
      <w:r>
        <w:rPr>
          <w:rFonts w:cstheme="minorHAnsi"/>
        </w:rPr>
        <w:t>˚</w:t>
      </w:r>
      <w:r>
        <w:t>.</w:t>
      </w:r>
    </w:p>
    <w:p w:rsidR="00591C08" w:rsidRDefault="00591C08" w:rsidP="00591C08">
      <w:pPr>
        <w:pStyle w:val="Heading3"/>
      </w:pPr>
      <w:r>
        <w:t>Comparison of Geometries</w:t>
      </w:r>
    </w:p>
    <w:p w:rsidR="00591C08" w:rsidRDefault="00591C08" w:rsidP="00591C08">
      <w:r>
        <w:t>The data set for comparing geometries was named "</w:t>
      </w:r>
      <w:r w:rsidRPr="00591C08">
        <w:t>Compare PM7 and Materials studio</w:t>
      </w:r>
      <w:r>
        <w:t>.mop"</w:t>
      </w:r>
      <w:r w:rsidRPr="00591C08">
        <w:t xml:space="preserve"> </w:t>
      </w:r>
      <w:r>
        <w:t>and consisted of two lines:</w:t>
      </w:r>
    </w:p>
    <w:p w:rsidR="00591C08" w:rsidRDefault="00591C08" w:rsidP="00591C08">
      <w:pPr>
        <w:spacing w:after="0" w:line="240" w:lineRule="auto"/>
      </w:pPr>
      <w:r>
        <w:t xml:space="preserve">Line 1: </w:t>
      </w:r>
      <w:proofErr w:type="spellStart"/>
      <w:r w:rsidRPr="00591C08">
        <w:t>geo_dat</w:t>
      </w:r>
      <w:proofErr w:type="spellEnd"/>
      <w:r w:rsidRPr="00591C08">
        <w:t xml:space="preserve">="resin 1SCF.arc" </w:t>
      </w:r>
      <w:proofErr w:type="spellStart"/>
      <w:r w:rsidRPr="00591C08">
        <w:t>geo_ref</w:t>
      </w:r>
      <w:proofErr w:type="spellEnd"/>
      <w:r w:rsidRPr="00591C08">
        <w:t>="resin Unconstrained optimization.arc"0 0scf html output</w:t>
      </w:r>
      <w:r>
        <w:t>"</w:t>
      </w:r>
      <w:r>
        <w:br/>
        <w:t xml:space="preserve">Line 2: </w:t>
      </w:r>
      <w:r w:rsidRPr="00591C08">
        <w:t>Comparison of PM7 and Materials Design geometries of an amorphous solid</w:t>
      </w:r>
    </w:p>
    <w:p w:rsidR="00591C08" w:rsidRDefault="00591C08" w:rsidP="00591C08"/>
    <w:p w:rsidR="00591C08" w:rsidRDefault="00591C08" w:rsidP="00591C08">
      <w:r>
        <w:t xml:space="preserve">Line 1: Keyword GEO_DAT specifies the geometry of one of the two species being compared. Keyword GEO_REF specifies the other geometry.  The "0" after the GEO-REF keyword is needed by MOPAC, but doesn't do anything.  This needs to be deleted "some time."  Keyword 0SCF suppresses any SCF </w:t>
      </w:r>
      <w:r>
        <w:lastRenderedPageBreak/>
        <w:t xml:space="preserve">calculations, and keyword HTML </w:t>
      </w:r>
      <w:r w:rsidR="00ED3A52">
        <w:t>requests that a JSmol HTML web-page be written - this shows the two systems one superimposed on the other.  Keyword OUTPUT suppresses most of the output.</w:t>
      </w:r>
    </w:p>
    <w:p w:rsidR="00ED3A52" w:rsidRPr="00591C08" w:rsidRDefault="00ED3A52" w:rsidP="00591C08">
      <w:r>
        <w:t>Line 2: A one-line description of the system.  This is useful when working with HTML files.</w:t>
      </w:r>
    </w:p>
    <w:p w:rsidR="00DF0F00" w:rsidRDefault="000242B7" w:rsidP="007A681C">
      <w:pPr>
        <w:pStyle w:val="Heading3"/>
      </w:pPr>
      <w:r>
        <w:t>Results of comparison of geometries</w:t>
      </w:r>
    </w:p>
    <w:p w:rsidR="008B45C5" w:rsidRDefault="008B45C5" w:rsidP="008B45C5">
      <w:r>
        <w:t>The Root Mean Square Difference between the two geometries was 1.63</w:t>
      </w:r>
      <w:r w:rsidR="00512382">
        <w:t xml:space="preserve"> </w:t>
      </w:r>
      <w:r>
        <w:rPr>
          <w:rFonts w:cstheme="minorHAnsi"/>
        </w:rPr>
        <w:t>Å</w:t>
      </w:r>
      <w:r>
        <w:t xml:space="preserve">, most of this was </w:t>
      </w:r>
      <w:r w:rsidR="007628F9">
        <w:t>caused by the formation of hydrogen bonds.  In the Material Studio structure the water molecules did not form hydrogen bonds with other moieties.</w:t>
      </w:r>
    </w:p>
    <w:p w:rsidR="00512382" w:rsidRDefault="00512382" w:rsidP="008B45C5">
      <w:pPr>
        <w:rPr>
          <w:rFonts w:cstheme="minorHAnsi"/>
        </w:rPr>
      </w:pPr>
      <w:r>
        <w:t xml:space="preserve">The largest individual difference in a bond-length was 0.094 </w:t>
      </w:r>
      <w:r>
        <w:rPr>
          <w:rFonts w:cstheme="minorHAnsi"/>
        </w:rPr>
        <w:t>Å in a water molecule.  In general, Materials Studio under-estimated O-H bond-lengths by 0.04 Å.  A single spurious O-H bond length (0.338 Å) was reported for PM7.  This was an artifact caused by the translation vectors of one geometry (Materials Studio) being used by the other geometry.</w:t>
      </w:r>
    </w:p>
    <w:p w:rsidR="00512382" w:rsidRDefault="00512382" w:rsidP="008B45C5">
      <w:r>
        <w:rPr>
          <w:rFonts w:cstheme="minorHAnsi"/>
        </w:rPr>
        <w:t xml:space="preserve">In the PM7 geometry, there were </w:t>
      </w:r>
      <w:r w:rsidR="00591C08">
        <w:rPr>
          <w:rFonts w:cstheme="minorHAnsi"/>
        </w:rPr>
        <w:t xml:space="preserve">18 hydrogen bonds in the Materials Studio structure, and 57 hydrogen bonds in the PM7 structure.  These contributed 4.16 </w:t>
      </w:r>
      <w:r w:rsidR="00591C08">
        <w:t>kcal</w:t>
      </w:r>
      <w:r w:rsidR="00591C08">
        <w:rPr>
          <w:rFonts w:cstheme="minorHAnsi"/>
        </w:rPr>
        <w:t>∙</w:t>
      </w:r>
      <w:r w:rsidR="00591C08">
        <w:t>mol</w:t>
      </w:r>
      <w:r w:rsidR="00591C08" w:rsidRPr="00DB3EED">
        <w:rPr>
          <w:vertAlign w:val="superscript"/>
        </w:rPr>
        <w:t>-1</w:t>
      </w:r>
      <w:r w:rsidR="00591C08">
        <w:t xml:space="preserve"> of stabilization to the PM7 structure.</w:t>
      </w:r>
    </w:p>
    <w:p w:rsidR="00ED3A52" w:rsidRDefault="00ED3A52" w:rsidP="00ED3A52">
      <w:pPr>
        <w:pStyle w:val="Heading3"/>
      </w:pPr>
      <w:r>
        <w:t>Summary</w:t>
      </w:r>
    </w:p>
    <w:p w:rsidR="00ED3A52" w:rsidRPr="00ED3A52" w:rsidRDefault="00ED3A52" w:rsidP="00ED3A52">
      <w:r>
        <w:t>Both the PM7 and Materials Studio geometries were similar.  The main differences were the result of the formation of more hydrogen bonds in the PM7 structure. No anomalies in either geometry were found.</w:t>
      </w:r>
    </w:p>
    <w:p w:rsidR="00ED3A52" w:rsidRPr="00ED3A52" w:rsidRDefault="00ED3A52" w:rsidP="00ED3A52"/>
    <w:p w:rsidR="00ED3A52" w:rsidRDefault="00ED3A52" w:rsidP="008B45C5"/>
    <w:p w:rsidR="007628F9" w:rsidRPr="008B45C5" w:rsidRDefault="007628F9" w:rsidP="008B45C5"/>
    <w:sectPr w:rsidR="007628F9" w:rsidRPr="008B45C5" w:rsidSect="008B45C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20"/>
  <w:drawingGridHorizontalSpacing w:val="110"/>
  <w:displayHorizontalDrawingGridEvery w:val="2"/>
  <w:characterSpacingControl w:val="doNotCompress"/>
  <w:compat/>
  <w:rsids>
    <w:rsidRoot w:val="00DF0F00"/>
    <w:rsid w:val="000242B7"/>
    <w:rsid w:val="00032FB5"/>
    <w:rsid w:val="00124F5C"/>
    <w:rsid w:val="0015415E"/>
    <w:rsid w:val="002377BC"/>
    <w:rsid w:val="003A1859"/>
    <w:rsid w:val="00473A22"/>
    <w:rsid w:val="00480853"/>
    <w:rsid w:val="00512382"/>
    <w:rsid w:val="0055546F"/>
    <w:rsid w:val="00557224"/>
    <w:rsid w:val="00591C08"/>
    <w:rsid w:val="005958CF"/>
    <w:rsid w:val="00647DA6"/>
    <w:rsid w:val="00730491"/>
    <w:rsid w:val="007628F9"/>
    <w:rsid w:val="007800FD"/>
    <w:rsid w:val="007A681C"/>
    <w:rsid w:val="007F7ED6"/>
    <w:rsid w:val="00850A50"/>
    <w:rsid w:val="008B45C5"/>
    <w:rsid w:val="008C5B30"/>
    <w:rsid w:val="00912594"/>
    <w:rsid w:val="0095302E"/>
    <w:rsid w:val="00A040B2"/>
    <w:rsid w:val="00AF5D06"/>
    <w:rsid w:val="00B85E54"/>
    <w:rsid w:val="00BA5908"/>
    <w:rsid w:val="00C61BA3"/>
    <w:rsid w:val="00C90726"/>
    <w:rsid w:val="00CC4136"/>
    <w:rsid w:val="00D43FF0"/>
    <w:rsid w:val="00DB1C97"/>
    <w:rsid w:val="00DB3EED"/>
    <w:rsid w:val="00DF0F00"/>
    <w:rsid w:val="00DF604A"/>
    <w:rsid w:val="00ED3A52"/>
    <w:rsid w:val="00FD5FA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2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FA6"/>
  </w:style>
  <w:style w:type="paragraph" w:styleId="Heading1">
    <w:name w:val="heading 1"/>
    <w:basedOn w:val="Normal"/>
    <w:next w:val="Normal"/>
    <w:link w:val="Heading1Char"/>
    <w:uiPriority w:val="9"/>
    <w:qFormat/>
    <w:rsid w:val="00DF0F00"/>
    <w:pPr>
      <w:keepNext/>
      <w:keepLines/>
      <w:spacing w:before="480" w:after="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AF5D06"/>
    <w:pPr>
      <w:keepNext/>
      <w:keepLines/>
      <w:spacing w:before="200" w:after="0"/>
      <w:outlineLvl w:val="1"/>
    </w:pPr>
    <w:rPr>
      <w:rFonts w:asciiTheme="majorHAnsi" w:eastAsiaTheme="majorEastAsia" w:hAnsiTheme="majorHAnsi" w:cstheme="majorBidi"/>
      <w:b/>
      <w:bCs/>
      <w:sz w:val="24"/>
      <w:szCs w:val="26"/>
    </w:rPr>
  </w:style>
  <w:style w:type="paragraph" w:styleId="Heading3">
    <w:name w:val="heading 3"/>
    <w:basedOn w:val="Normal"/>
    <w:next w:val="Normal"/>
    <w:link w:val="Heading3Char"/>
    <w:uiPriority w:val="9"/>
    <w:unhideWhenUsed/>
    <w:qFormat/>
    <w:rsid w:val="007A681C"/>
    <w:pPr>
      <w:keepNext/>
      <w:keepLines/>
      <w:spacing w:before="200" w:after="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DF604A"/>
    <w:pPr>
      <w:keepNext/>
      <w:keepLines/>
      <w:spacing w:before="200" w:after="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032FB5"/>
    <w:pPr>
      <w:spacing w:after="200" w:line="240" w:lineRule="auto"/>
    </w:pPr>
    <w:rPr>
      <w:b/>
      <w:bCs/>
      <w:sz w:val="18"/>
      <w:szCs w:val="18"/>
    </w:rPr>
  </w:style>
  <w:style w:type="character" w:customStyle="1" w:styleId="Heading2Char">
    <w:name w:val="Heading 2 Char"/>
    <w:basedOn w:val="DefaultParagraphFont"/>
    <w:link w:val="Heading2"/>
    <w:uiPriority w:val="9"/>
    <w:rsid w:val="00AF5D06"/>
    <w:rPr>
      <w:rFonts w:asciiTheme="majorHAnsi" w:eastAsiaTheme="majorEastAsia" w:hAnsiTheme="majorHAnsi" w:cstheme="majorBidi"/>
      <w:b/>
      <w:bCs/>
      <w:sz w:val="24"/>
      <w:szCs w:val="26"/>
    </w:rPr>
  </w:style>
  <w:style w:type="character" w:customStyle="1" w:styleId="Heading3Char">
    <w:name w:val="Heading 3 Char"/>
    <w:basedOn w:val="DefaultParagraphFont"/>
    <w:link w:val="Heading3"/>
    <w:uiPriority w:val="9"/>
    <w:rsid w:val="007A681C"/>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DF604A"/>
    <w:rPr>
      <w:rFonts w:asciiTheme="majorHAnsi" w:eastAsiaTheme="majorEastAsia" w:hAnsiTheme="majorHAnsi" w:cstheme="majorBidi"/>
      <w:b/>
      <w:bCs/>
      <w:iCs/>
    </w:rPr>
  </w:style>
  <w:style w:type="character" w:customStyle="1" w:styleId="Heading1Char">
    <w:name w:val="Heading 1 Char"/>
    <w:basedOn w:val="DefaultParagraphFont"/>
    <w:link w:val="Heading1"/>
    <w:uiPriority w:val="9"/>
    <w:rsid w:val="00DF0F00"/>
    <w:rPr>
      <w:rFonts w:asciiTheme="majorHAnsi" w:eastAsiaTheme="majorEastAsia" w:hAnsiTheme="majorHAnsi" w:cstheme="majorBidi"/>
      <w:b/>
      <w:bCs/>
      <w:sz w:val="28"/>
      <w:szCs w:val="28"/>
    </w:rPr>
  </w:style>
  <w:style w:type="character" w:styleId="Hyperlink">
    <w:name w:val="Hyperlink"/>
    <w:basedOn w:val="DefaultParagraphFont"/>
    <w:uiPriority w:val="99"/>
    <w:unhideWhenUsed/>
    <w:rsid w:val="007F7ED6"/>
    <w:rPr>
      <w:color w:val="0000FF" w:themeColor="hyperlink"/>
      <w:u w:val="single"/>
    </w:rPr>
  </w:style>
  <w:style w:type="table" w:styleId="TableGrid">
    <w:name w:val="Table Grid"/>
    <w:basedOn w:val="TableNormal"/>
    <w:uiPriority w:val="59"/>
    <w:rsid w:val="00DB3E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TotalTime>
  <Pages>1</Pages>
  <Words>432</Words>
  <Characters>2463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13</cp:revision>
  <dcterms:created xsi:type="dcterms:W3CDTF">2016-10-02T14:16:00Z</dcterms:created>
  <dcterms:modified xsi:type="dcterms:W3CDTF">2016-10-05T22:52:00Z</dcterms:modified>
</cp:coreProperties>
</file>